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裁判文书公开情况报告</w:t>
      </w:r>
      <w:bookmarkStart w:id="0" w:name="_GoBack"/>
      <w:bookmarkEnd w:id="0"/>
    </w:p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舒兰市人民法院裁判文书公开情况：2018年1月1日至2019年6月30日，裁判文书公开数量6227件，未公开数量1531件。2018年1月1日至2018年12月30日：裁判文书公开数量4239件，未公开数量1017件。2019年1月1日至2019年6月30日：裁判文书公开数量1988件，未公开数量514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A2F40"/>
    <w:rsid w:val="43D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2019-07-04T01:06:00Z</dcterms:created>
  <dc:creator>Administrator.SC-201905291540</dc:creator>
  <cp:lastModifiedBy>Administrator</cp:lastModifiedBy>
  <cp:lastPrinted>2019-07-04T01:08:00Z</cp:lastPrinted>
  <dcterms:modified xsi:type="dcterms:W3CDTF">2019-07-08T07:55:54Z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