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1D" w:rsidRPr="00C455D0" w:rsidRDefault="00503A1D" w:rsidP="00503A1D">
      <w:pPr>
        <w:jc w:val="center"/>
        <w:rPr>
          <w:rFonts w:ascii="黑体" w:eastAsia="黑体" w:hAnsi="黑体" w:cs="仿宋_GB2312"/>
          <w:b/>
          <w:sz w:val="36"/>
          <w:szCs w:val="36"/>
        </w:rPr>
      </w:pPr>
      <w:r w:rsidRPr="002B2878">
        <w:rPr>
          <w:rFonts w:ascii="黑体" w:eastAsia="黑体" w:hAnsi="黑体" w:hint="eastAsia"/>
          <w:b/>
          <w:sz w:val="36"/>
          <w:szCs w:val="36"/>
        </w:rPr>
        <w:t>关于</w:t>
      </w:r>
      <w:r w:rsidRPr="0056492E">
        <w:rPr>
          <w:rFonts w:ascii="黑体" w:eastAsia="黑体" w:hAnsi="黑体" w:hint="eastAsia"/>
          <w:b/>
          <w:sz w:val="36"/>
          <w:szCs w:val="36"/>
        </w:rPr>
        <w:t>原告</w:t>
      </w:r>
      <w:r>
        <w:rPr>
          <w:rFonts w:ascii="黑体" w:eastAsia="黑体" w:hAnsi="黑体" w:cs="仿宋_GB2312"/>
          <w:b/>
          <w:sz w:val="36"/>
          <w:szCs w:val="36"/>
        </w:rPr>
        <w:t>舒兰市宇艳信息技术有限责任公司</w:t>
      </w:r>
      <w:r w:rsidRPr="0056492E">
        <w:rPr>
          <w:rFonts w:ascii="黑体" w:eastAsia="黑体" w:hAnsi="黑体" w:hint="eastAsia"/>
          <w:b/>
          <w:sz w:val="36"/>
          <w:szCs w:val="36"/>
        </w:rPr>
        <w:t>与被告</w:t>
      </w:r>
      <w:r>
        <w:rPr>
          <w:rFonts w:ascii="黑体" w:eastAsia="黑体" w:hAnsi="黑体" w:hint="eastAsia"/>
          <w:b/>
          <w:sz w:val="36"/>
          <w:szCs w:val="36"/>
        </w:rPr>
        <w:t>北京市合力电信有限公司买卖合同</w:t>
      </w:r>
      <w:r w:rsidRPr="0056492E">
        <w:rPr>
          <w:rFonts w:ascii="黑体" w:eastAsia="黑体" w:hAnsi="黑体" w:hint="eastAsia"/>
          <w:b/>
          <w:sz w:val="36"/>
          <w:szCs w:val="36"/>
        </w:rPr>
        <w:t>纠纷</w:t>
      </w:r>
      <w:r w:rsidRPr="002B2878">
        <w:rPr>
          <w:rFonts w:ascii="黑体" w:eastAsia="黑体" w:hAnsi="黑体" w:hint="eastAsia"/>
          <w:b/>
          <w:sz w:val="36"/>
          <w:szCs w:val="36"/>
        </w:rPr>
        <w:t>发改案件评查报告</w:t>
      </w:r>
    </w:p>
    <w:p w:rsidR="00503A1D" w:rsidRPr="007A78A1" w:rsidRDefault="00503A1D" w:rsidP="00503A1D">
      <w:pPr>
        <w:jc w:val="right"/>
        <w:rPr>
          <w:rFonts w:ascii="仿宋" w:eastAsia="仿宋" w:hAnsi="仿宋"/>
          <w:sz w:val="30"/>
          <w:szCs w:val="30"/>
        </w:rPr>
      </w:pPr>
      <w:r w:rsidRPr="007A78A1">
        <w:rPr>
          <w:rFonts w:ascii="仿宋" w:eastAsia="仿宋" w:hAnsi="仿宋" w:hint="eastAsia"/>
          <w:sz w:val="30"/>
          <w:szCs w:val="30"/>
        </w:rPr>
        <w:t>（</w:t>
      </w:r>
      <w:r>
        <w:rPr>
          <w:rFonts w:ascii="仿宋" w:eastAsia="仿宋" w:hAnsi="仿宋" w:hint="eastAsia"/>
          <w:sz w:val="30"/>
          <w:szCs w:val="30"/>
        </w:rPr>
        <w:t>2019</w:t>
      </w:r>
      <w:r w:rsidRPr="007A78A1">
        <w:rPr>
          <w:rFonts w:ascii="仿宋" w:eastAsia="仿宋" w:hAnsi="仿宋" w:hint="eastAsia"/>
          <w:sz w:val="30"/>
          <w:szCs w:val="30"/>
        </w:rPr>
        <w:t>）舒评</w:t>
      </w:r>
      <w:r>
        <w:rPr>
          <w:rFonts w:ascii="仿宋" w:eastAsia="仿宋" w:hAnsi="仿宋" w:hint="eastAsia"/>
          <w:sz w:val="30"/>
          <w:szCs w:val="30"/>
        </w:rPr>
        <w:t>44</w:t>
      </w:r>
      <w:r w:rsidRPr="007A78A1">
        <w:rPr>
          <w:rFonts w:ascii="仿宋" w:eastAsia="仿宋" w:hAnsi="仿宋" w:hint="eastAsia"/>
          <w:sz w:val="30"/>
          <w:szCs w:val="30"/>
        </w:rPr>
        <w:t>号</w:t>
      </w:r>
    </w:p>
    <w:p w:rsidR="00503A1D" w:rsidRPr="003B7BD1" w:rsidRDefault="00503A1D" w:rsidP="00503A1D">
      <w:pPr>
        <w:jc w:val="left"/>
        <w:rPr>
          <w:rFonts w:asciiTheme="minorEastAsia" w:hAnsiTheme="minorEastAsia"/>
          <w:b/>
          <w:sz w:val="30"/>
          <w:szCs w:val="30"/>
        </w:rPr>
      </w:pPr>
      <w:r w:rsidRPr="003B7BD1">
        <w:rPr>
          <w:rFonts w:asciiTheme="minorEastAsia" w:hAnsiTheme="minorEastAsia" w:hint="eastAsia"/>
          <w:b/>
          <w:sz w:val="30"/>
          <w:szCs w:val="30"/>
        </w:rPr>
        <w:t>一、一审案件案号</w:t>
      </w:r>
    </w:p>
    <w:p w:rsidR="00503A1D" w:rsidRPr="002B2878" w:rsidRDefault="00503A1D" w:rsidP="00503A1D">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（20</w:t>
      </w:r>
      <w:r>
        <w:rPr>
          <w:rFonts w:ascii="仿宋" w:eastAsia="仿宋" w:hAnsi="仿宋" w:hint="eastAsia"/>
          <w:sz w:val="30"/>
          <w:szCs w:val="30"/>
        </w:rPr>
        <w:t>19</w:t>
      </w:r>
      <w:r w:rsidRPr="002B2878">
        <w:rPr>
          <w:rFonts w:ascii="仿宋" w:eastAsia="仿宋" w:hAnsi="仿宋" w:hint="eastAsia"/>
          <w:sz w:val="30"/>
          <w:szCs w:val="30"/>
        </w:rPr>
        <w:t>）吉0283民初</w:t>
      </w:r>
      <w:r>
        <w:rPr>
          <w:rFonts w:ascii="仿宋" w:eastAsia="仿宋" w:hAnsi="仿宋" w:hint="eastAsia"/>
          <w:sz w:val="30"/>
          <w:szCs w:val="30"/>
        </w:rPr>
        <w:t>452</w:t>
      </w:r>
      <w:r w:rsidRPr="002B2878">
        <w:rPr>
          <w:rFonts w:ascii="仿宋" w:eastAsia="仿宋" w:hAnsi="仿宋" w:hint="eastAsia"/>
          <w:sz w:val="30"/>
          <w:szCs w:val="30"/>
        </w:rPr>
        <w:t>号</w:t>
      </w:r>
    </w:p>
    <w:p w:rsidR="00503A1D" w:rsidRPr="003B7BD1" w:rsidRDefault="00503A1D" w:rsidP="00503A1D">
      <w:pPr>
        <w:jc w:val="left"/>
        <w:rPr>
          <w:rFonts w:asciiTheme="minorEastAsia" w:hAnsiTheme="minorEastAsia"/>
          <w:b/>
          <w:sz w:val="30"/>
          <w:szCs w:val="30"/>
        </w:rPr>
      </w:pPr>
      <w:r w:rsidRPr="003B7BD1">
        <w:rPr>
          <w:rFonts w:asciiTheme="minorEastAsia" w:hAnsiTheme="minorEastAsia" w:hint="eastAsia"/>
          <w:b/>
          <w:sz w:val="30"/>
          <w:szCs w:val="30"/>
        </w:rPr>
        <w:t>二、</w:t>
      </w:r>
      <w:r>
        <w:rPr>
          <w:rFonts w:asciiTheme="minorEastAsia" w:hAnsiTheme="minorEastAsia" w:hint="eastAsia"/>
          <w:b/>
          <w:sz w:val="30"/>
          <w:szCs w:val="30"/>
        </w:rPr>
        <w:t>二</w:t>
      </w:r>
      <w:r w:rsidRPr="003B7BD1">
        <w:rPr>
          <w:rFonts w:asciiTheme="minorEastAsia" w:hAnsiTheme="minorEastAsia" w:hint="eastAsia"/>
          <w:b/>
          <w:sz w:val="30"/>
          <w:szCs w:val="30"/>
        </w:rPr>
        <w:t>审案件案号</w:t>
      </w:r>
    </w:p>
    <w:p w:rsidR="00503A1D" w:rsidRPr="002B2878" w:rsidRDefault="00503A1D" w:rsidP="00503A1D">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w:t>
      </w:r>
      <w:r>
        <w:rPr>
          <w:rFonts w:ascii="仿宋" w:eastAsia="仿宋" w:hAnsi="仿宋" w:hint="eastAsia"/>
          <w:sz w:val="30"/>
          <w:szCs w:val="30"/>
        </w:rPr>
        <w:t>2019</w:t>
      </w:r>
      <w:r w:rsidRPr="002B2878">
        <w:rPr>
          <w:rFonts w:ascii="仿宋" w:eastAsia="仿宋" w:hAnsi="仿宋" w:hint="eastAsia"/>
          <w:sz w:val="30"/>
          <w:szCs w:val="30"/>
        </w:rPr>
        <w:t>）吉02民</w:t>
      </w:r>
      <w:r>
        <w:rPr>
          <w:rFonts w:ascii="仿宋" w:eastAsia="仿宋" w:hAnsi="仿宋" w:hint="eastAsia"/>
          <w:sz w:val="30"/>
          <w:szCs w:val="30"/>
        </w:rPr>
        <w:t>辖终36</w:t>
      </w:r>
      <w:r w:rsidRPr="002B2878">
        <w:rPr>
          <w:rFonts w:ascii="仿宋" w:eastAsia="仿宋" w:hAnsi="仿宋" w:hint="eastAsia"/>
          <w:sz w:val="30"/>
          <w:szCs w:val="30"/>
        </w:rPr>
        <w:t>号</w:t>
      </w:r>
    </w:p>
    <w:p w:rsidR="00503A1D" w:rsidRPr="003B7BD1" w:rsidRDefault="00503A1D" w:rsidP="00503A1D">
      <w:pPr>
        <w:jc w:val="left"/>
        <w:rPr>
          <w:rFonts w:asciiTheme="minorEastAsia" w:hAnsiTheme="minorEastAsia"/>
          <w:b/>
          <w:sz w:val="30"/>
          <w:szCs w:val="30"/>
        </w:rPr>
      </w:pPr>
      <w:r w:rsidRPr="003B7BD1">
        <w:rPr>
          <w:rFonts w:asciiTheme="minorEastAsia" w:hAnsiTheme="minorEastAsia" w:hint="eastAsia"/>
          <w:b/>
          <w:sz w:val="30"/>
          <w:szCs w:val="30"/>
        </w:rPr>
        <w:t>三、一审案件审理情况</w:t>
      </w:r>
    </w:p>
    <w:p w:rsidR="00503A1D" w:rsidRPr="007C2891" w:rsidRDefault="00503A1D" w:rsidP="00503A1D">
      <w:pPr>
        <w:jc w:val="left"/>
        <w:rPr>
          <w:rFonts w:ascii="仿宋" w:eastAsia="仿宋" w:hAnsi="仿宋"/>
          <w:sz w:val="30"/>
          <w:szCs w:val="30"/>
        </w:rPr>
      </w:pPr>
      <w:r>
        <w:rPr>
          <w:rFonts w:ascii="仿宋" w:eastAsia="仿宋" w:hAnsi="仿宋" w:hint="eastAsia"/>
          <w:b/>
          <w:sz w:val="30"/>
          <w:szCs w:val="30"/>
        </w:rPr>
        <w:t xml:space="preserve">    </w:t>
      </w:r>
      <w:r>
        <w:rPr>
          <w:rFonts w:ascii="仿宋" w:eastAsia="仿宋" w:hAnsi="仿宋" w:hint="eastAsia"/>
          <w:sz w:val="30"/>
          <w:szCs w:val="30"/>
        </w:rPr>
        <w:t>一审裁定移送被告</w:t>
      </w:r>
      <w:r w:rsidRPr="00743341">
        <w:rPr>
          <w:rFonts w:ascii="仿宋" w:eastAsia="仿宋" w:hAnsi="仿宋" w:hint="eastAsia"/>
          <w:sz w:val="30"/>
          <w:szCs w:val="30"/>
        </w:rPr>
        <w:t>北京市合力电信有限公司</w:t>
      </w:r>
      <w:r>
        <w:rPr>
          <w:rFonts w:ascii="仿宋" w:eastAsia="仿宋" w:hAnsi="仿宋" w:hint="eastAsia"/>
          <w:sz w:val="30"/>
          <w:szCs w:val="30"/>
        </w:rPr>
        <w:t>所在地人民法院审理。</w:t>
      </w:r>
    </w:p>
    <w:p w:rsidR="00503A1D" w:rsidRDefault="00503A1D" w:rsidP="00503A1D">
      <w:pPr>
        <w:jc w:val="center"/>
        <w:rPr>
          <w:rFonts w:ascii="黑体" w:eastAsia="黑体" w:hAnsi="黑体" w:cs="仿宋_GB2312"/>
          <w:b/>
          <w:sz w:val="36"/>
          <w:szCs w:val="36"/>
        </w:rPr>
      </w:pPr>
      <w:r>
        <w:rPr>
          <w:rFonts w:asciiTheme="minorEastAsia" w:hAnsiTheme="minorEastAsia" w:hint="eastAsia"/>
          <w:b/>
          <w:sz w:val="30"/>
          <w:szCs w:val="30"/>
        </w:rPr>
        <w:t xml:space="preserve">    </w:t>
      </w:r>
      <w:r>
        <w:rPr>
          <w:rFonts w:ascii="仿宋" w:eastAsia="仿宋" w:hAnsi="仿宋" w:hint="eastAsia"/>
          <w:b/>
          <w:sz w:val="30"/>
          <w:szCs w:val="30"/>
        </w:rPr>
        <w:t>宣判后，原告</w:t>
      </w:r>
      <w:r w:rsidRPr="007C2891">
        <w:rPr>
          <w:rFonts w:ascii="仿宋" w:eastAsia="仿宋" w:hAnsi="仿宋"/>
          <w:b/>
          <w:sz w:val="30"/>
          <w:szCs w:val="30"/>
        </w:rPr>
        <w:t>舒兰市宇艳信息技术有限责任公司</w:t>
      </w:r>
    </w:p>
    <w:p w:rsidR="00503A1D" w:rsidRPr="00422350" w:rsidRDefault="00503A1D" w:rsidP="00503A1D">
      <w:pPr>
        <w:jc w:val="left"/>
        <w:rPr>
          <w:rFonts w:ascii="仿宋" w:eastAsia="仿宋" w:hAnsi="仿宋"/>
          <w:b/>
          <w:sz w:val="30"/>
          <w:szCs w:val="30"/>
        </w:rPr>
      </w:pPr>
      <w:r w:rsidRPr="00422350">
        <w:rPr>
          <w:rFonts w:ascii="仿宋" w:eastAsia="仿宋" w:hAnsi="仿宋" w:hint="eastAsia"/>
          <w:b/>
          <w:sz w:val="30"/>
          <w:szCs w:val="30"/>
        </w:rPr>
        <w:t>不服一审裁判，向吉林省吉林市中级人民法院提出上诉。</w:t>
      </w:r>
    </w:p>
    <w:p w:rsidR="00503A1D" w:rsidRDefault="00503A1D" w:rsidP="00503A1D">
      <w:pPr>
        <w:jc w:val="left"/>
        <w:rPr>
          <w:rFonts w:asciiTheme="minorEastAsia" w:hAnsiTheme="minorEastAsia"/>
          <w:b/>
          <w:sz w:val="30"/>
          <w:szCs w:val="30"/>
        </w:rPr>
      </w:pPr>
      <w:r w:rsidRPr="003B7BD1">
        <w:rPr>
          <w:rFonts w:asciiTheme="minorEastAsia" w:hAnsiTheme="minorEastAsia" w:hint="eastAsia"/>
          <w:b/>
          <w:sz w:val="30"/>
          <w:szCs w:val="30"/>
        </w:rPr>
        <w:t>五、</w:t>
      </w:r>
      <w:r>
        <w:rPr>
          <w:rFonts w:asciiTheme="minorEastAsia" w:hAnsiTheme="minorEastAsia" w:hint="eastAsia"/>
          <w:b/>
          <w:sz w:val="30"/>
          <w:szCs w:val="30"/>
        </w:rPr>
        <w:t>二</w:t>
      </w:r>
      <w:r w:rsidRPr="003B7BD1">
        <w:rPr>
          <w:rFonts w:asciiTheme="minorEastAsia" w:hAnsiTheme="minorEastAsia" w:hint="eastAsia"/>
          <w:b/>
          <w:sz w:val="30"/>
          <w:szCs w:val="30"/>
        </w:rPr>
        <w:t>审法院审理情况</w:t>
      </w:r>
    </w:p>
    <w:p w:rsidR="00503A1D" w:rsidRPr="00743341" w:rsidRDefault="00503A1D" w:rsidP="00503A1D">
      <w:pPr>
        <w:jc w:val="left"/>
        <w:rPr>
          <w:rFonts w:ascii="仿宋" w:eastAsia="仿宋" w:hAnsi="仿宋"/>
          <w:sz w:val="30"/>
          <w:szCs w:val="30"/>
        </w:rPr>
      </w:pPr>
      <w:r>
        <w:rPr>
          <w:rFonts w:asciiTheme="minorEastAsia" w:hAnsiTheme="minorEastAsia" w:hint="eastAsia"/>
          <w:b/>
          <w:sz w:val="30"/>
          <w:szCs w:val="30"/>
        </w:rPr>
        <w:t xml:space="preserve">    </w:t>
      </w:r>
      <w:r>
        <w:rPr>
          <w:rFonts w:ascii="仿宋" w:eastAsia="仿宋" w:hAnsi="仿宋" w:hint="eastAsia"/>
          <w:sz w:val="30"/>
          <w:szCs w:val="30"/>
        </w:rPr>
        <w:t>本案系买卖合同纠纷。在本案审查期间，本院对宇艳公司及合力电信进行了询问。宇艳公司提供了增值税专用发票及“中国建设银行客户专用回单”，以证明合力电信提交的与宇艳公司于2017年11月8日签订的“供货合同”货款已经履行完毕，其本次所诉货款与该合同无关。合力电信对2017年11月8日签订的“供货合同”货款已经履行完毕的事实无异议，但对宇艳公司本次所诉货款是哪笔不清楚，并称只与宇艳公司签订过一次书面合同，进行过一次买卖，不欠货款。根据双方的陈述及宇艳公司提</w:t>
      </w:r>
      <w:r>
        <w:rPr>
          <w:rFonts w:ascii="仿宋" w:eastAsia="仿宋" w:hAnsi="仿宋" w:hint="eastAsia"/>
          <w:sz w:val="30"/>
          <w:szCs w:val="30"/>
        </w:rPr>
        <w:lastRenderedPageBreak/>
        <w:t>供的增值税专用发票等证据，不足以证明宇艳公司本次所诉贷款系2017年11月8日签订的“供货合同”所涉货物所欠，至于合力电信是否拖欠该笔货款，属实体审理问题。故本案不适用该“供货合同”中约定的“解决争议的方式”条款确定管辖，而应依据民事诉讼法及相关司法解释的规定确定管辖。《中华人民共和国民事诉讼法》第二十三条规定：“因合同纠纷提起的诉讼，由被告住所地或者合同履行地人民法院管辖。”依据该规定，本案被告合力电信住所地北京市大兴区人民法院及合同履行地人民法院对本案均具有管辖权。关于本案合同履行地的确定。依据《最高人民法院关于适用&lt;中华人民共和国民事诉讼法&gt;的解释》第十八条第二款“合同对履行地点没有约定或者约定不明确，争议标的为给付货币的，接受货币一方所在地为合同履行地；交付不动产的，不动产所在地为合同履行地；其他标的，履行义务一方所在地为合同履行地。即时结清的合同，交易行为地为合同履行地。”之规定，本案双方当事人就本次所诉货款为约定合同履行地点，宇艳公司的诉请是要求合力电信支付拖欠的货款，接收货币一方即宇艳公司所在地为合同履行地。宇艳公司住所地位于吉林省舒兰市，故本案买卖合同履行地为吉林省舒兰市，位于原审法院辖区范围内。依据《中华人民共和国民事诉讼法》第三十五条“两个以上人民法院都有管辖权的诉讼，原告可以向其中一个人民法院起诉；原告向两个以上有管辖权的人民法院起诉的，由最先立案的人民法院管辖。”之规定，宇艳公司选择向合同履行地人民</w:t>
      </w:r>
      <w:r>
        <w:rPr>
          <w:rFonts w:ascii="仿宋" w:eastAsia="仿宋" w:hAnsi="仿宋" w:hint="eastAsia"/>
          <w:sz w:val="30"/>
          <w:szCs w:val="30"/>
        </w:rPr>
        <w:lastRenderedPageBreak/>
        <w:t>法院即原审法院提起诉讼，符合法律规定，故原审法院对本案具有管辖权，综上，原裁定适用法律错误，应予撤销。上诉人宇艳公司的上诉请求及理由成立，应予支持。</w:t>
      </w:r>
    </w:p>
    <w:p w:rsidR="00503A1D" w:rsidRPr="003B7BD1" w:rsidRDefault="00503A1D" w:rsidP="00503A1D">
      <w:pPr>
        <w:jc w:val="left"/>
        <w:rPr>
          <w:rFonts w:asciiTheme="minorEastAsia" w:hAnsiTheme="minorEastAsia"/>
          <w:b/>
          <w:sz w:val="30"/>
          <w:szCs w:val="30"/>
        </w:rPr>
      </w:pPr>
      <w:r w:rsidRPr="003B7BD1">
        <w:rPr>
          <w:rFonts w:asciiTheme="minorEastAsia" w:hAnsiTheme="minorEastAsia" w:hint="eastAsia"/>
          <w:b/>
          <w:sz w:val="30"/>
          <w:szCs w:val="30"/>
        </w:rPr>
        <w:t>六.</w:t>
      </w:r>
      <w:r>
        <w:rPr>
          <w:rFonts w:asciiTheme="minorEastAsia" w:hAnsiTheme="minorEastAsia" w:hint="eastAsia"/>
          <w:b/>
          <w:sz w:val="30"/>
          <w:szCs w:val="30"/>
        </w:rPr>
        <w:t>二</w:t>
      </w:r>
      <w:r w:rsidRPr="003B7BD1">
        <w:rPr>
          <w:rFonts w:asciiTheme="minorEastAsia" w:hAnsiTheme="minorEastAsia" w:hint="eastAsia"/>
          <w:b/>
          <w:sz w:val="30"/>
          <w:szCs w:val="30"/>
        </w:rPr>
        <w:t>审案件裁判结果</w:t>
      </w:r>
    </w:p>
    <w:p w:rsidR="00503A1D" w:rsidRDefault="00503A1D" w:rsidP="00503A1D">
      <w:pPr>
        <w:ind w:firstLineChars="200" w:firstLine="600"/>
        <w:jc w:val="left"/>
        <w:rPr>
          <w:rFonts w:ascii="仿宋" w:eastAsia="仿宋" w:hAnsi="仿宋"/>
          <w:sz w:val="30"/>
          <w:szCs w:val="30"/>
        </w:rPr>
      </w:pPr>
      <w:r>
        <w:rPr>
          <w:rFonts w:ascii="仿宋" w:eastAsia="仿宋" w:hAnsi="仿宋" w:hint="eastAsia"/>
          <w:sz w:val="30"/>
          <w:szCs w:val="30"/>
        </w:rPr>
        <w:t>一、撤销吉林省舒兰市人民法院（2019）吉0283民初452号民事裁定；</w:t>
      </w:r>
    </w:p>
    <w:p w:rsidR="00503A1D" w:rsidRDefault="00503A1D" w:rsidP="00503A1D">
      <w:pPr>
        <w:ind w:firstLineChars="200" w:firstLine="600"/>
        <w:jc w:val="left"/>
        <w:rPr>
          <w:rFonts w:ascii="仿宋" w:eastAsia="仿宋" w:hAnsi="仿宋"/>
          <w:sz w:val="30"/>
          <w:szCs w:val="30"/>
        </w:rPr>
      </w:pPr>
      <w:r>
        <w:rPr>
          <w:rFonts w:ascii="仿宋" w:eastAsia="仿宋" w:hAnsi="仿宋" w:hint="eastAsia"/>
          <w:sz w:val="30"/>
          <w:szCs w:val="30"/>
        </w:rPr>
        <w:t>二、本案由舒兰市人民法院管辖。</w:t>
      </w:r>
    </w:p>
    <w:p w:rsidR="00503A1D" w:rsidRDefault="00503A1D" w:rsidP="00503A1D">
      <w:pPr>
        <w:jc w:val="left"/>
        <w:rPr>
          <w:rFonts w:asciiTheme="minorEastAsia" w:hAnsiTheme="minorEastAsia"/>
          <w:b/>
          <w:sz w:val="30"/>
          <w:szCs w:val="30"/>
        </w:rPr>
      </w:pPr>
      <w:r>
        <w:rPr>
          <w:rFonts w:asciiTheme="minorEastAsia" w:hAnsiTheme="minorEastAsia" w:hint="eastAsia"/>
          <w:b/>
          <w:sz w:val="30"/>
          <w:szCs w:val="30"/>
        </w:rPr>
        <w:t>七、一审办案人对二审案件发改的意见</w:t>
      </w:r>
    </w:p>
    <w:p w:rsidR="00503A1D" w:rsidRPr="00F12B79" w:rsidRDefault="00503A1D" w:rsidP="00503A1D">
      <w:pPr>
        <w:ind w:firstLineChars="200" w:firstLine="600"/>
        <w:jc w:val="left"/>
        <w:rPr>
          <w:rFonts w:ascii="仿宋" w:eastAsia="仿宋" w:hAnsi="仿宋"/>
          <w:sz w:val="30"/>
          <w:szCs w:val="30"/>
        </w:rPr>
      </w:pPr>
      <w:r w:rsidRPr="00F12B79">
        <w:rPr>
          <w:rFonts w:ascii="仿宋" w:eastAsia="仿宋" w:hAnsi="仿宋" w:hint="eastAsia"/>
          <w:sz w:val="30"/>
          <w:szCs w:val="30"/>
        </w:rPr>
        <w:t>一审办案人</w:t>
      </w:r>
      <w:r>
        <w:rPr>
          <w:rFonts w:ascii="仿宋" w:eastAsia="仿宋" w:hAnsi="仿宋" w:hint="eastAsia"/>
          <w:sz w:val="30"/>
          <w:szCs w:val="30"/>
        </w:rPr>
        <w:t>马辉</w:t>
      </w:r>
      <w:r w:rsidRPr="00F12B79">
        <w:rPr>
          <w:rFonts w:ascii="仿宋" w:eastAsia="仿宋" w:hAnsi="仿宋" w:hint="eastAsia"/>
          <w:sz w:val="30"/>
          <w:szCs w:val="30"/>
        </w:rPr>
        <w:t>法官认为</w:t>
      </w:r>
      <w:r>
        <w:rPr>
          <w:rFonts w:ascii="仿宋" w:eastAsia="仿宋" w:hAnsi="仿宋" w:hint="eastAsia"/>
          <w:sz w:val="30"/>
          <w:szCs w:val="30"/>
        </w:rPr>
        <w:t>其裁判观点</w:t>
      </w:r>
      <w:r w:rsidRPr="00F12B79">
        <w:rPr>
          <w:rFonts w:ascii="仿宋" w:eastAsia="仿宋" w:hAnsi="仿宋" w:hint="eastAsia"/>
          <w:sz w:val="30"/>
          <w:szCs w:val="30"/>
        </w:rPr>
        <w:t>与二审法院采用的观点不同。</w:t>
      </w:r>
    </w:p>
    <w:p w:rsidR="00503A1D" w:rsidRPr="00E57465" w:rsidRDefault="00503A1D" w:rsidP="00503A1D">
      <w:pPr>
        <w:jc w:val="left"/>
        <w:rPr>
          <w:rFonts w:asciiTheme="minorEastAsia" w:hAnsiTheme="minorEastAsia"/>
          <w:b/>
          <w:sz w:val="30"/>
          <w:szCs w:val="30"/>
        </w:rPr>
      </w:pPr>
      <w:r>
        <w:rPr>
          <w:rFonts w:asciiTheme="minorEastAsia" w:hAnsiTheme="minorEastAsia" w:hint="eastAsia"/>
          <w:b/>
          <w:sz w:val="30"/>
          <w:szCs w:val="30"/>
        </w:rPr>
        <w:t>八</w:t>
      </w:r>
      <w:r w:rsidRPr="00E57465">
        <w:rPr>
          <w:rFonts w:asciiTheme="minorEastAsia" w:hAnsiTheme="minorEastAsia" w:hint="eastAsia"/>
          <w:b/>
          <w:sz w:val="30"/>
          <w:szCs w:val="30"/>
        </w:rPr>
        <w:t>、案件评查意见</w:t>
      </w:r>
    </w:p>
    <w:p w:rsidR="00503A1D" w:rsidRDefault="00503A1D" w:rsidP="00503A1D">
      <w:pPr>
        <w:jc w:val="left"/>
        <w:rPr>
          <w:rFonts w:ascii="仿宋" w:eastAsia="仿宋" w:hAnsi="仿宋"/>
          <w:sz w:val="30"/>
          <w:szCs w:val="30"/>
        </w:rPr>
      </w:pPr>
      <w:r>
        <w:rPr>
          <w:rFonts w:ascii="仿宋" w:eastAsia="仿宋" w:hAnsi="仿宋" w:hint="eastAsia"/>
          <w:b/>
          <w:sz w:val="30"/>
          <w:szCs w:val="30"/>
        </w:rPr>
        <w:t xml:space="preserve">    </w:t>
      </w:r>
      <w:r w:rsidRPr="003C3463">
        <w:rPr>
          <w:rFonts w:ascii="仿宋" w:eastAsia="仿宋" w:hAnsi="仿宋" w:hint="eastAsia"/>
          <w:b/>
          <w:sz w:val="30"/>
          <w:szCs w:val="30"/>
        </w:rPr>
        <w:t>1.评查焦点：</w:t>
      </w:r>
      <w:r>
        <w:rPr>
          <w:rFonts w:ascii="仿宋" w:eastAsia="仿宋" w:hAnsi="仿宋" w:hint="eastAsia"/>
          <w:sz w:val="30"/>
          <w:szCs w:val="30"/>
        </w:rPr>
        <w:t>二审改判是否正确</w:t>
      </w:r>
    </w:p>
    <w:p w:rsidR="00503A1D" w:rsidRDefault="00503A1D" w:rsidP="00503A1D">
      <w:r>
        <w:rPr>
          <w:rFonts w:ascii="仿宋" w:eastAsia="仿宋" w:hAnsi="仿宋" w:hint="eastAsia"/>
          <w:b/>
          <w:sz w:val="30"/>
          <w:szCs w:val="30"/>
        </w:rPr>
        <w:t xml:space="preserve">    2.</w:t>
      </w:r>
      <w:r w:rsidRPr="003C3463">
        <w:rPr>
          <w:rFonts w:ascii="仿宋" w:eastAsia="仿宋" w:hAnsi="仿宋" w:hint="eastAsia"/>
          <w:b/>
          <w:sz w:val="30"/>
          <w:szCs w:val="30"/>
        </w:rPr>
        <w:t>评查结果</w:t>
      </w:r>
      <w:r>
        <w:rPr>
          <w:rFonts w:ascii="仿宋" w:eastAsia="仿宋" w:hAnsi="仿宋" w:hint="eastAsia"/>
          <w:b/>
          <w:sz w:val="30"/>
          <w:szCs w:val="30"/>
        </w:rPr>
        <w:t>：</w:t>
      </w:r>
      <w:r w:rsidRPr="006323D7">
        <w:rPr>
          <w:rFonts w:ascii="仿宋" w:eastAsia="仿宋" w:hAnsi="仿宋" w:hint="eastAsia"/>
          <w:sz w:val="30"/>
          <w:szCs w:val="30"/>
        </w:rPr>
        <w:t>适用法律存在认识问题。</w:t>
      </w:r>
    </w:p>
    <w:p w:rsidR="00503A1D" w:rsidRDefault="00503A1D" w:rsidP="00503A1D">
      <w:pPr>
        <w:ind w:firstLine="600"/>
        <w:jc w:val="left"/>
        <w:rPr>
          <w:rFonts w:ascii="仿宋" w:eastAsia="仿宋" w:hAnsi="仿宋"/>
          <w:sz w:val="30"/>
          <w:szCs w:val="30"/>
        </w:rPr>
      </w:pPr>
      <w:r>
        <w:rPr>
          <w:rFonts w:ascii="仿宋" w:eastAsia="仿宋" w:hAnsi="仿宋" w:hint="eastAsia"/>
          <w:b/>
          <w:sz w:val="30"/>
          <w:szCs w:val="30"/>
        </w:rPr>
        <w:t>3.</w:t>
      </w:r>
      <w:r w:rsidRPr="003C3463">
        <w:rPr>
          <w:rFonts w:ascii="仿宋" w:eastAsia="仿宋" w:hAnsi="仿宋" w:hint="eastAsia"/>
          <w:b/>
          <w:sz w:val="30"/>
          <w:szCs w:val="30"/>
        </w:rPr>
        <w:t>评查</w:t>
      </w:r>
      <w:r>
        <w:rPr>
          <w:rFonts w:ascii="仿宋" w:eastAsia="仿宋" w:hAnsi="仿宋" w:hint="eastAsia"/>
          <w:b/>
          <w:sz w:val="30"/>
          <w:szCs w:val="30"/>
        </w:rPr>
        <w:t>意见</w:t>
      </w:r>
      <w:r w:rsidRPr="003C3463">
        <w:rPr>
          <w:rFonts w:ascii="仿宋" w:eastAsia="仿宋" w:hAnsi="仿宋" w:hint="eastAsia"/>
          <w:b/>
          <w:sz w:val="30"/>
          <w:szCs w:val="30"/>
        </w:rPr>
        <w:t>：</w:t>
      </w:r>
      <w:r w:rsidRPr="005C3163">
        <w:rPr>
          <w:rFonts w:ascii="仿宋" w:eastAsia="仿宋" w:hAnsi="仿宋" w:hint="eastAsia"/>
          <w:sz w:val="30"/>
          <w:szCs w:val="30"/>
        </w:rPr>
        <w:t>原审依据原告提供的“供货合同”确定了案件管辖法院并裁定移送，原告对此裁定不服，中院经对双方询问，认为双方的争议无法确认是供货合同所欠货款纠纷，应属实体问题，故不应采纳供货合同确认争议管辖法院，基于以上事实，二审指定本院管辖，属于两级法院认识不一致。</w:t>
      </w:r>
    </w:p>
    <w:p w:rsidR="00503A1D" w:rsidRDefault="00503A1D" w:rsidP="00503A1D">
      <w:pPr>
        <w:ind w:firstLine="600"/>
        <w:jc w:val="right"/>
        <w:rPr>
          <w:rFonts w:ascii="仿宋" w:eastAsia="仿宋" w:hAnsi="仿宋"/>
          <w:sz w:val="30"/>
          <w:szCs w:val="30"/>
        </w:rPr>
      </w:pPr>
    </w:p>
    <w:p w:rsidR="00503A1D" w:rsidRDefault="00503A1D" w:rsidP="00503A1D">
      <w:pPr>
        <w:ind w:firstLine="600"/>
        <w:jc w:val="right"/>
        <w:rPr>
          <w:rFonts w:ascii="仿宋" w:eastAsia="仿宋" w:hAnsi="仿宋"/>
          <w:sz w:val="30"/>
          <w:szCs w:val="30"/>
        </w:rPr>
      </w:pPr>
    </w:p>
    <w:p w:rsidR="00503A1D" w:rsidRDefault="00503A1D" w:rsidP="00503A1D">
      <w:pPr>
        <w:ind w:firstLine="600"/>
        <w:jc w:val="right"/>
        <w:rPr>
          <w:rFonts w:ascii="仿宋" w:eastAsia="仿宋" w:hAnsi="仿宋"/>
          <w:sz w:val="30"/>
          <w:szCs w:val="30"/>
        </w:rPr>
      </w:pPr>
      <w:r>
        <w:rPr>
          <w:rFonts w:ascii="仿宋" w:eastAsia="仿宋" w:hAnsi="仿宋" w:hint="eastAsia"/>
          <w:sz w:val="30"/>
          <w:szCs w:val="30"/>
        </w:rPr>
        <w:t>评 查 人：于忠民</w:t>
      </w:r>
    </w:p>
    <w:p w:rsidR="00291A35" w:rsidRPr="00503A1D" w:rsidRDefault="00503A1D" w:rsidP="00503A1D">
      <w:pPr>
        <w:ind w:firstLine="600"/>
        <w:jc w:val="right"/>
        <w:rPr>
          <w:rFonts w:ascii="仿宋" w:eastAsia="仿宋" w:hAnsi="仿宋"/>
          <w:sz w:val="28"/>
          <w:szCs w:val="30"/>
        </w:rPr>
      </w:pPr>
      <w:r>
        <w:rPr>
          <w:rFonts w:ascii="仿宋" w:eastAsia="仿宋" w:hAnsi="仿宋" w:hint="eastAsia"/>
          <w:sz w:val="30"/>
          <w:szCs w:val="30"/>
        </w:rPr>
        <w:t>2019年6月28日</w:t>
      </w:r>
    </w:p>
    <w:sectPr w:rsidR="00291A35" w:rsidRPr="00503A1D" w:rsidSect="00F9745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35" w:rsidRDefault="00291A35" w:rsidP="00503A1D">
      <w:r>
        <w:separator/>
      </w:r>
    </w:p>
  </w:endnote>
  <w:endnote w:type="continuationSeparator" w:id="1">
    <w:p w:rsidR="00291A35" w:rsidRDefault="00291A35" w:rsidP="00503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697"/>
      <w:docPartObj>
        <w:docPartGallery w:val="Page Numbers (Bottom of Page)"/>
        <w:docPartUnique/>
      </w:docPartObj>
    </w:sdtPr>
    <w:sdtEndPr/>
    <w:sdtContent>
      <w:p w:rsidR="00AC6E02" w:rsidRDefault="00291A35">
        <w:pPr>
          <w:pStyle w:val="a4"/>
          <w:jc w:val="center"/>
        </w:pPr>
        <w:r>
          <w:fldChar w:fldCharType="begin"/>
        </w:r>
        <w:r>
          <w:instrText xml:space="preserve"> PAGE   \* MERGEFORMAT </w:instrText>
        </w:r>
        <w:r>
          <w:fldChar w:fldCharType="separate"/>
        </w:r>
        <w:r w:rsidR="00503A1D" w:rsidRPr="00503A1D">
          <w:rPr>
            <w:noProof/>
            <w:lang w:val="zh-CN"/>
          </w:rPr>
          <w:t>3</w:t>
        </w:r>
        <w:r>
          <w:fldChar w:fldCharType="end"/>
        </w:r>
      </w:p>
    </w:sdtContent>
  </w:sdt>
  <w:p w:rsidR="00192C9E" w:rsidRDefault="00291A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35" w:rsidRDefault="00291A35" w:rsidP="00503A1D">
      <w:r>
        <w:separator/>
      </w:r>
    </w:p>
  </w:footnote>
  <w:footnote w:type="continuationSeparator" w:id="1">
    <w:p w:rsidR="00291A35" w:rsidRDefault="00291A35" w:rsidP="00503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A1D"/>
    <w:rsid w:val="00291A35"/>
    <w:rsid w:val="00503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3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3A1D"/>
    <w:rPr>
      <w:sz w:val="18"/>
      <w:szCs w:val="18"/>
    </w:rPr>
  </w:style>
  <w:style w:type="paragraph" w:styleId="a4">
    <w:name w:val="footer"/>
    <w:basedOn w:val="a"/>
    <w:link w:val="Char0"/>
    <w:uiPriority w:val="99"/>
    <w:unhideWhenUsed/>
    <w:rsid w:val="00503A1D"/>
    <w:pPr>
      <w:tabs>
        <w:tab w:val="center" w:pos="4153"/>
        <w:tab w:val="right" w:pos="8306"/>
      </w:tabs>
      <w:snapToGrid w:val="0"/>
      <w:jc w:val="left"/>
    </w:pPr>
    <w:rPr>
      <w:sz w:val="18"/>
      <w:szCs w:val="18"/>
    </w:rPr>
  </w:style>
  <w:style w:type="character" w:customStyle="1" w:styleId="Char0">
    <w:name w:val="页脚 Char"/>
    <w:basedOn w:val="a0"/>
    <w:link w:val="a4"/>
    <w:uiPriority w:val="99"/>
    <w:rsid w:val="00503A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1254</Characters>
  <Application>Microsoft Office Word</Application>
  <DocSecurity>0</DocSecurity>
  <Lines>10</Lines>
  <Paragraphs>2</Paragraphs>
  <ScaleCrop>false</ScaleCrop>
  <Company>Sky123.Org</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2019-07-15T05:50:00Z</dcterms:created>
  <dcterms:modified xsi:type="dcterms:W3CDTF">2019-07-15T05:50:00Z</dcterms:modified>
</cp:coreProperties>
</file>